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eastAsia" w:eastAsia="宋体"/>
          <w:lang w:val="en-US" w:eastAsia="zh-CN"/>
        </w:rPr>
      </w:pPr>
      <w:bookmarkStart w:id="0" w:name="OLE_LINK17"/>
      <w:bookmarkStart w:id="1" w:name="_Hlk19781073"/>
      <w:bookmarkStart w:id="2" w:name="OLE_LINK2"/>
      <w:r>
        <w:t>3GPP T</w:t>
      </w:r>
      <w:bookmarkStart w:id="3" w:name="_Ref452454252"/>
      <w:bookmarkEnd w:id="3"/>
      <w:r>
        <w:t>SG-</w:t>
      </w:r>
      <w:r>
        <w:rPr>
          <w:szCs w:val="24"/>
        </w:rPr>
        <w:t>RAN WG3 Meeting #</w:t>
      </w:r>
      <w:r>
        <w:rPr>
          <w:rFonts w:hint="eastAsia" w:eastAsia="宋体"/>
          <w:szCs w:val="24"/>
          <w:lang w:val="en-US" w:eastAsia="zh-CN"/>
        </w:rPr>
        <w:t>12</w:t>
      </w:r>
      <w:bookmarkEnd w:id="0"/>
      <w:r>
        <w:rPr>
          <w:rFonts w:hint="eastAsia" w:eastAsia="宋体"/>
          <w:szCs w:val="24"/>
          <w:lang w:val="en-US" w:eastAsia="zh-CN"/>
        </w:rPr>
        <w:t>4</w:t>
      </w:r>
      <w:r>
        <w:tab/>
      </w:r>
      <w:r>
        <w:rPr>
          <w:rFonts w:hint="eastAsia"/>
          <w:lang w:eastAsia="ja-JP"/>
        </w:rPr>
        <w:t>R3-243687</w:t>
      </w:r>
    </w:p>
    <w:p>
      <w:pPr>
        <w:pStyle w:val="118"/>
        <w:rPr>
          <w:rFonts w:hint="default" w:eastAsia="宋体"/>
          <w:lang w:val="en-US" w:eastAsia="zh-CN"/>
        </w:rPr>
      </w:pPr>
      <w:bookmarkStart w:id="4" w:name="_Hlk19781143"/>
      <w:r>
        <w:rPr>
          <w:rFonts w:hint="eastAsia" w:eastAsia="宋体"/>
          <w:lang w:val="en-US" w:eastAsia="zh-CN"/>
        </w:rPr>
        <w:t>Fukuoka, Japan, 20 - 24 May 2024</w:t>
      </w:r>
    </w:p>
    <w:bookmarkEnd w:id="1"/>
    <w:bookmarkEnd w:id="2"/>
    <w:bookmarkEnd w:id="4"/>
    <w:p>
      <w:pPr>
        <w:pStyle w:val="35"/>
        <w:rPr>
          <w:rFonts w:cs="Arial"/>
          <w:bCs/>
          <w:sz w:val="24"/>
          <w:lang w:eastAsia="ja-JP"/>
        </w:rPr>
      </w:pPr>
    </w:p>
    <w:p>
      <w:pPr>
        <w:pStyle w:val="35"/>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9.2</w:t>
      </w:r>
    </w:p>
    <w:p>
      <w:pPr>
        <w:pStyle w:val="89"/>
        <w:rPr>
          <w:rFonts w:hint="default" w:eastAsia="宋体"/>
          <w:lang w:val="en-US" w:eastAsia="zh-CN"/>
        </w:rPr>
      </w:pPr>
      <w:r>
        <w:t>Source:</w:t>
      </w:r>
      <w:r>
        <w:tab/>
      </w:r>
      <w:r>
        <w:rPr>
          <w:rFonts w:hint="eastAsia" w:eastAsia="宋体"/>
          <w:lang w:val="en-US" w:eastAsia="zh-CN"/>
        </w:rPr>
        <w:t>ZTE</w:t>
      </w:r>
    </w:p>
    <w:p>
      <w:pPr>
        <w:pStyle w:val="89"/>
        <w:ind w:left="1985" w:hanging="1985"/>
        <w:rPr>
          <w:lang w:eastAsia="ja-JP"/>
        </w:rPr>
      </w:pPr>
      <w:r>
        <w:t>Title:</w:t>
      </w:r>
      <w:r>
        <w:tab/>
      </w:r>
      <w:r>
        <w:rPr>
          <w:rFonts w:hint="eastAsia" w:eastAsia="宋体"/>
          <w:lang w:val="en-US" w:eastAsia="zh-CN"/>
        </w:rPr>
        <w:t>Discussion on LTM remaining issues</w:t>
      </w:r>
    </w:p>
    <w:p>
      <w:pPr>
        <w:pStyle w:val="89"/>
        <w:rPr>
          <w:lang w:eastAsia="ja-JP"/>
        </w:rPr>
      </w:pPr>
      <w:r>
        <w:t>Document for:</w:t>
      </w:r>
      <w:r>
        <w:tab/>
      </w:r>
      <w:r>
        <w:t xml:space="preserve">Discussions &amp; </w:t>
      </w:r>
      <w:r>
        <w:rPr>
          <w:lang w:eastAsia="ja-JP"/>
        </w:rPr>
        <w:t>Approval</w:t>
      </w:r>
    </w:p>
    <w:p>
      <w:pPr>
        <w:pStyle w:val="2"/>
        <w:numPr>
          <w:ilvl w:val="0"/>
          <w:numId w:val="2"/>
        </w:numPr>
        <w:rPr>
          <w:rFonts w:cs="Arial"/>
        </w:rPr>
      </w:pPr>
      <w:bookmarkStart w:id="5" w:name="OLE_LINK1"/>
      <w:r>
        <w:rPr>
          <w:rFonts w:cs="Arial"/>
        </w:rPr>
        <w:t>Introduction</w:t>
      </w:r>
    </w:p>
    <w:bookmarkEnd w:id="5"/>
    <w:p>
      <w:pPr>
        <w:overflowPunct w:val="0"/>
        <w:autoSpaceDE w:val="0"/>
        <w:autoSpaceDN w:val="0"/>
        <w:adjustRightInd w:val="0"/>
        <w:spacing w:after="120"/>
        <w:jc w:val="both"/>
        <w:textAlignment w:val="baseline"/>
        <w:rPr>
          <w:rFonts w:hint="default" w:eastAsia="宋体"/>
          <w:sz w:val="22"/>
          <w:szCs w:val="22"/>
          <w:lang w:val="en-US" w:eastAsia="zh-CN"/>
        </w:rPr>
      </w:pPr>
      <w:r>
        <w:rPr>
          <w:rFonts w:hint="eastAsia" w:eastAsia="宋体"/>
          <w:sz w:val="22"/>
          <w:szCs w:val="22"/>
          <w:lang w:val="en-US" w:eastAsia="zh-CN"/>
        </w:rPr>
        <w:t>In this paper, we would like to discuss the remaining issues of LTM.</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bookmarkStart w:id="6" w:name="OLE_LINK5"/>
      <w:r>
        <w:rPr>
          <w:rFonts w:ascii="Arial" w:hAnsi="Arial" w:eastAsia="Times New Roman" w:cs="Arial"/>
          <w:sz w:val="36"/>
          <w:lang w:val="en-GB" w:eastAsia="en-US" w:bidi="ar-SA"/>
        </w:rPr>
        <w:tab/>
      </w:r>
      <w:bookmarkEnd w:id="6"/>
      <w:r>
        <w:rPr>
          <w:rFonts w:hint="eastAsia" w:ascii="Arial" w:hAnsi="Arial" w:eastAsia="宋体" w:cs="Arial"/>
          <w:sz w:val="36"/>
          <w:lang w:val="en-US" w:eastAsia="zh-CN" w:bidi="ar-SA"/>
        </w:rPr>
        <w:t>Discussion</w:t>
      </w:r>
    </w:p>
    <w:p>
      <w:pPr>
        <w:pStyle w:val="3"/>
        <w:bidi w:val="0"/>
        <w:rPr>
          <w:rFonts w:hint="default" w:eastAsia="宋体"/>
          <w:lang w:val="en-US" w:eastAsia="zh-CN"/>
        </w:rPr>
      </w:pPr>
      <w:r>
        <w:rPr>
          <w:rFonts w:hint="eastAsia"/>
          <w:lang w:val="en-US" w:eastAsia="zh-CN"/>
        </w:rPr>
        <w:t>2.1</w:t>
      </w:r>
      <w:r>
        <w:rPr>
          <w:rFonts w:ascii="Arial" w:hAnsi="Arial" w:eastAsia="Times New Roman" w:cs="Arial"/>
          <w:sz w:val="36"/>
          <w:lang w:val="en-GB" w:eastAsia="en-US" w:bidi="ar-SA"/>
        </w:rPr>
        <w:tab/>
      </w:r>
      <w:r>
        <w:rPr>
          <w:rFonts w:hint="eastAsia" w:eastAsia="宋体"/>
          <w:lang w:val="en-US" w:eastAsia="zh-CN"/>
        </w:rPr>
        <w:t>UE based TA measurement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At the last meeting, we made the following progress, and it is still FFS on the details.</w:t>
      </w:r>
    </w:p>
    <w:p>
      <w:pPr>
        <w:pStyle w:val="40"/>
        <w:rPr>
          <w:rFonts w:hint="default" w:ascii="Arial" w:hAnsi="Arial" w:eastAsia="Times New Roman" w:cs="Arial"/>
          <w:color w:val="00B050"/>
          <w:kern w:val="0"/>
          <w:sz w:val="20"/>
          <w:szCs w:val="20"/>
          <w:lang w:val="en-US" w:eastAsia="zh-CN" w:bidi="ar-SA"/>
        </w:rPr>
      </w:pPr>
      <w:r>
        <w:rPr>
          <w:rFonts w:hint="default" w:ascii="Arial" w:hAnsi="Arial" w:eastAsia="Times New Roman" w:cs="Arial"/>
          <w:color w:val="00B050"/>
          <w:kern w:val="0"/>
          <w:sz w:val="20"/>
          <w:szCs w:val="20"/>
          <w:lang w:val="en-US" w:eastAsia="zh-CN" w:bidi="ar-SA"/>
        </w:rPr>
        <w:t>The gNB-CU assigns the ltm-UE-MeasuredTA-ID and ltm-ServingCellUE-MeasuredTA for UE based TA measurement.</w:t>
      </w:r>
    </w:p>
    <w:p>
      <w:pPr>
        <w:pStyle w:val="40"/>
        <w:rPr>
          <w:rFonts w:hint="eastAsia" w:ascii="Arial" w:hAnsi="Arial" w:eastAsia="Times New Roman" w:cs="Arial"/>
          <w:color w:val="00B050"/>
          <w:kern w:val="0"/>
          <w:sz w:val="20"/>
          <w:szCs w:val="20"/>
          <w:lang w:val="en-US" w:eastAsia="zh-CN" w:bidi="ar-SA"/>
        </w:rPr>
      </w:pPr>
      <w:r>
        <w:rPr>
          <w:rFonts w:hint="default" w:ascii="Arial" w:hAnsi="Arial" w:eastAsia="Times New Roman" w:cs="Arial"/>
          <w:color w:val="00B050"/>
          <w:kern w:val="0"/>
          <w:sz w:val="20"/>
          <w:szCs w:val="20"/>
          <w:lang w:val="en-US" w:eastAsia="zh-CN" w:bidi="ar-SA"/>
        </w:rPr>
        <w:t>WA: The gNB-CU indicates the IDs of UE based TA measurement for each candidate cell and source cell to the source gNB-DU via UE context Modification Request message.</w:t>
      </w:r>
    </w:p>
    <w:p>
      <w:pPr>
        <w:pStyle w:val="40"/>
        <w:rPr>
          <w:rFonts w:hint="eastAsia" w:ascii="Arial" w:hAnsi="Arial" w:eastAsia="Times New Roman" w:cs="Arial"/>
          <w:color w:val="0000FF"/>
          <w:kern w:val="0"/>
          <w:sz w:val="20"/>
          <w:szCs w:val="20"/>
          <w:lang w:val="en-US" w:eastAsia="zh-CN" w:bidi="ar-SA"/>
        </w:rPr>
      </w:pPr>
      <w:r>
        <w:rPr>
          <w:rFonts w:hint="default" w:ascii="Arial" w:hAnsi="Arial" w:eastAsia="Times New Roman" w:cs="Arial"/>
          <w:color w:val="0000FF"/>
          <w:kern w:val="0"/>
          <w:sz w:val="20"/>
          <w:szCs w:val="20"/>
          <w:lang w:val="en-US" w:eastAsia="zh-CN" w:bidi="ar-SA"/>
        </w:rPr>
        <w:t>To be continued. If no issue observed for referring RRC defined IEs, go for the WA.</w:t>
      </w:r>
    </w:p>
    <w:p>
      <w:pPr>
        <w:numPr>
          <w:ilvl w:val="0"/>
          <w:numId w:val="0"/>
        </w:num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The detailed issue of the WA solution is provided in [1]. We acknowledge the issue, but we believe only revising the RAN3 spec may cause a misalignment between the UE and the NW. For example, if cell1, cell 2 and cell 3 are assigned the same UE based TA ID 1, cell 4 and cell 5 are assigned the same UE based TA ID 2, and the TAE between cell3 and cell 4 are less than 260ns but they are not assigned the same UE based TA ID due to limitation of the RRC design</w:t>
      </w:r>
      <w:bookmarkStart w:id="8" w:name="_GoBack"/>
      <w:bookmarkEnd w:id="8"/>
      <w:r>
        <w:rPr>
          <w:rFonts w:hint="eastAsia" w:ascii="Arial" w:hAnsi="Arial" w:cs="Arial"/>
          <w:lang w:val="en-US" w:eastAsia="zh-CN" w:bidi="ar-SA"/>
        </w:rPr>
        <w:t>. Then from UE</w:t>
      </w:r>
      <w:r>
        <w:rPr>
          <w:rFonts w:hint="default" w:ascii="Arial" w:hAnsi="Arial" w:cs="Arial"/>
          <w:lang w:val="en-US" w:eastAsia="zh-CN" w:bidi="ar-SA"/>
        </w:rPr>
        <w:t>’</w:t>
      </w:r>
      <w:r>
        <w:rPr>
          <w:rFonts w:hint="eastAsia" w:ascii="Arial" w:hAnsi="Arial" w:cs="Arial"/>
          <w:lang w:val="en-US" w:eastAsia="zh-CN" w:bidi="ar-SA"/>
        </w:rPr>
        <w:t>s perspective, UE based TA measurement can not be supported between cell 3 and cell 4, however from the NW</w:t>
      </w:r>
      <w:r>
        <w:rPr>
          <w:rFonts w:hint="default" w:ascii="Arial" w:hAnsi="Arial" w:cs="Arial"/>
          <w:lang w:val="en-US" w:eastAsia="zh-CN" w:bidi="ar-SA"/>
        </w:rPr>
        <w:t>’</w:t>
      </w:r>
      <w:r>
        <w:rPr>
          <w:rFonts w:hint="eastAsia" w:ascii="Arial" w:hAnsi="Arial" w:cs="Arial"/>
          <w:lang w:val="en-US" w:eastAsia="zh-CN" w:bidi="ar-SA"/>
        </w:rPr>
        <w:t>s perspective, UE based TA measurement can be supported between cell 3 and cell 4. Then the UE will not trigger UE based TA measurement and the NW will also not trigger the TA acquisition procedure because the NW thinks the UE based TA measurement can be supported. Therefore, we prefer to follow the RRC design even though it is not a perfect design.</w:t>
      </w:r>
    </w:p>
    <w:p>
      <w:pPr>
        <w:numPr>
          <w:ilvl w:val="0"/>
          <w:numId w:val="0"/>
        </w:num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 misalignment may be caused if RAN3 design is not based on the RRC design, i.e. the UE does not trigger UE based TA measurement and the NW also does not trigger the TA acquisition procedure because the NW thinks the UE based TA measurement can be supported.</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 Turn the following WA into an agreement.</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default" w:ascii="Arial" w:hAnsi="Arial" w:cs="Arial"/>
          <w:b/>
          <w:bCs/>
          <w:lang w:val="en-US" w:eastAsia="zh-CN" w:bidi="ar-SA"/>
        </w:rPr>
        <w:t>The gNB-CU indicates the IDs of UE based TA measurement for each candidate cell and source cell to the source gNB-DU via UE context Modification Request message.</w:t>
      </w:r>
    </w:p>
    <w:p>
      <w:pPr>
        <w:pStyle w:val="3"/>
        <w:bidi w:val="0"/>
        <w:rPr>
          <w:rFonts w:hint="default"/>
          <w:lang w:val="en-US" w:eastAsia="zh-CN"/>
        </w:rPr>
      </w:pPr>
      <w:r>
        <w:rPr>
          <w:rFonts w:hint="eastAsia"/>
          <w:lang w:val="en-US" w:eastAsia="zh-CN"/>
        </w:rPr>
        <w:t>2.2</w:t>
      </w:r>
      <w:r>
        <w:rPr>
          <w:rFonts w:ascii="Arial" w:hAnsi="Arial" w:eastAsia="Times New Roman" w:cs="Arial"/>
          <w:sz w:val="36"/>
          <w:lang w:val="en-GB" w:eastAsia="en-US" w:bidi="ar-SA"/>
        </w:rPr>
        <w:tab/>
      </w:r>
      <w:r>
        <w:rPr>
          <w:rFonts w:hint="eastAsia"/>
          <w:lang w:val="en-US" w:eastAsia="zh-CN"/>
        </w:rPr>
        <w:t>CFRA resources used in LTM cell switch command</w:t>
      </w:r>
    </w:p>
    <w:p>
      <w:pPr>
        <w:overflowPunct w:val="0"/>
        <w:autoSpaceDE w:val="0"/>
        <w:autoSpaceDN w:val="0"/>
        <w:adjustRightInd w:val="0"/>
        <w:spacing w:after="180"/>
        <w:textAlignment w:val="baseline"/>
        <w:rPr>
          <w:rFonts w:hint="eastAsia" w:ascii="Arial" w:hAnsi="Arial" w:eastAsia="Times New Roman" w:cs="Arial"/>
          <w:color w:val="00B050"/>
          <w:kern w:val="0"/>
          <w:sz w:val="20"/>
          <w:szCs w:val="20"/>
          <w:lang w:val="en-US" w:eastAsia="zh-CN" w:bidi="ar-SA"/>
        </w:rPr>
      </w:pPr>
      <w:r>
        <w:rPr>
          <w:rFonts w:hint="eastAsia" w:ascii="Arial" w:hAnsi="Arial" w:eastAsia="Times New Roman" w:cs="Arial"/>
          <w:color w:val="00B050"/>
          <w:kern w:val="0"/>
          <w:sz w:val="20"/>
          <w:szCs w:val="20"/>
          <w:lang w:val="en-US" w:eastAsia="zh-CN" w:bidi="ar-SA"/>
        </w:rPr>
        <w:t>The rach-ConfigDedicated needs to be transferred from candidate gNB-DU to the source gNB-DU via F1.</w:t>
      </w:r>
    </w:p>
    <w:p>
      <w:pPr>
        <w:overflowPunct w:val="0"/>
        <w:autoSpaceDE w:val="0"/>
        <w:autoSpaceDN w:val="0"/>
        <w:adjustRightInd w:val="0"/>
        <w:spacing w:after="180"/>
        <w:textAlignment w:val="baseline"/>
        <w:rPr>
          <w:rFonts w:hint="default" w:ascii="Arial" w:hAnsi="Arial" w:eastAsia="Times New Roman" w:cs="Arial"/>
          <w:color w:val="0000FF"/>
          <w:kern w:val="0"/>
          <w:sz w:val="20"/>
          <w:szCs w:val="20"/>
          <w:lang w:val="en-US" w:eastAsia="zh-CN" w:bidi="ar-SA"/>
        </w:rPr>
      </w:pPr>
      <w:r>
        <w:rPr>
          <w:rFonts w:hint="eastAsia" w:ascii="Arial" w:hAnsi="Arial" w:eastAsia="Times New Roman" w:cs="Arial"/>
          <w:color w:val="0000FF"/>
          <w:kern w:val="0"/>
          <w:sz w:val="20"/>
          <w:szCs w:val="20"/>
          <w:lang w:val="en-US" w:eastAsia="zh-CN" w:bidi="ar-SA"/>
        </w:rPr>
        <w:t>FFS it is the one inside the RRCRecofiguration or a new one.</w:t>
      </w:r>
    </w:p>
    <w:p>
      <w:pPr>
        <w:numPr>
          <w:ilvl w:val="0"/>
          <w:numId w:val="0"/>
        </w:num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For this issue, we prefer to use the one inside the RRCRecofiguration, otherwise there will be RAN2 impact if a new one is defined.</w:t>
      </w:r>
    </w:p>
    <w:p>
      <w:pPr>
        <w:numPr>
          <w:ilvl w:val="0"/>
          <w:numId w:val="0"/>
        </w:num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2: The rach-ConfigDedicated in the RRCReconfiguration message provided by the candidate gNB-DU during LTM preparation is used.</w:t>
      </w:r>
    </w:p>
    <w:p>
      <w:pPr>
        <w:pStyle w:val="3"/>
        <w:bidi w:val="0"/>
        <w:rPr>
          <w:rFonts w:hint="default"/>
          <w:lang w:val="en-US" w:eastAsia="zh-CN"/>
        </w:rPr>
      </w:pPr>
      <w:r>
        <w:rPr>
          <w:rFonts w:hint="eastAsia"/>
          <w:lang w:val="en-US" w:eastAsia="zh-CN"/>
        </w:rPr>
        <w:t>2.3</w:t>
      </w:r>
      <w:r>
        <w:rPr>
          <w:rFonts w:ascii="Arial" w:hAnsi="Arial" w:eastAsia="Times New Roman" w:cs="Arial"/>
          <w:sz w:val="36"/>
          <w:lang w:val="en-GB" w:eastAsia="en-US" w:bidi="ar-SA"/>
        </w:rPr>
        <w:tab/>
      </w:r>
      <w:r>
        <w:rPr>
          <w:rFonts w:hint="eastAsia"/>
          <w:lang w:val="en-US" w:eastAsia="zh-CN"/>
        </w:rPr>
        <w:t>Same TA as source and TA = 0</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At previous meeting, we made the following agreement and it is still FFS which node decides the cell</w:t>
      </w:r>
      <w:r>
        <w:rPr>
          <w:rFonts w:hint="default" w:ascii="Arial" w:hAnsi="Arial" w:cs="Arial"/>
          <w:lang w:val="en-US" w:eastAsia="zh-CN" w:bidi="ar-SA"/>
        </w:rPr>
        <w:t>’</w:t>
      </w:r>
      <w:r>
        <w:rPr>
          <w:rFonts w:hint="eastAsia" w:ascii="Arial" w:hAnsi="Arial" w:cs="Arial"/>
          <w:lang w:val="en-US" w:eastAsia="zh-CN" w:bidi="ar-SA"/>
        </w:rPr>
        <w:t>s TA is 0.</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The gNB-CU provides the TA =0 to the source gNB-DU and other candidate gNB-DUs.</w:t>
      </w:r>
    </w:p>
    <w:p>
      <w:pPr>
        <w:overflowPunct w:val="0"/>
        <w:autoSpaceDE w:val="0"/>
        <w:autoSpaceDN w:val="0"/>
        <w:adjustRightInd w:val="0"/>
        <w:spacing w:after="180"/>
        <w:textAlignment w:val="baseline"/>
        <w:rPr>
          <w:rFonts w:hint="default" w:ascii="Arial" w:hAnsi="Arial" w:cs="Arial"/>
          <w:lang w:val="en-US" w:eastAsia="zh-CN" w:bidi="ar-SA"/>
        </w:rPr>
      </w:pPr>
      <w:r>
        <w:rPr>
          <w:rFonts w:hint="default" w:ascii="Arial" w:hAnsi="Arial" w:cs="Arial"/>
          <w:lang w:val="en-US" w:eastAsia="zh-CN" w:bidi="ar-SA"/>
        </w:rPr>
        <w:t>Option1:  candidate DU provides it in UE context setup response/F1 setup request.</w:t>
      </w:r>
    </w:p>
    <w:p>
      <w:pPr>
        <w:overflowPunct w:val="0"/>
        <w:autoSpaceDE w:val="0"/>
        <w:autoSpaceDN w:val="0"/>
        <w:adjustRightInd w:val="0"/>
        <w:spacing w:after="180"/>
        <w:textAlignment w:val="baseline"/>
        <w:rPr>
          <w:rFonts w:hint="default" w:ascii="Arial" w:hAnsi="Arial" w:cs="Arial"/>
          <w:lang w:val="en-US" w:eastAsia="zh-CN" w:bidi="ar-SA"/>
        </w:rPr>
      </w:pPr>
      <w:r>
        <w:rPr>
          <w:rFonts w:hint="default" w:ascii="Arial" w:hAnsi="Arial" w:cs="Arial"/>
          <w:lang w:val="en-US" w:eastAsia="zh-CN" w:bidi="ar-SA"/>
        </w:rPr>
        <w:t>Option 2: CU knows. (OAM configured)</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Since the TA value is zero at any location in a cell, the CU can know this information based on OAM configuration to avoid unnecessary early TA acquisition procedure. </w:t>
      </w:r>
    </w:p>
    <w:p>
      <w:pPr>
        <w:overflowPunct w:val="0"/>
        <w:autoSpaceDE w:val="0"/>
        <w:autoSpaceDN w:val="0"/>
        <w:adjustRightInd w:val="0"/>
        <w:spacing w:after="180"/>
        <w:textAlignment w:val="baseline"/>
        <w:rPr>
          <w:rFonts w:hint="default" w:ascii="Arial" w:hAnsi="Arial" w:cs="Arial"/>
          <w:lang w:val="en-US" w:eastAsia="zh-CN" w:bidi="ar-SA"/>
        </w:rPr>
      </w:pPr>
      <w:bookmarkStart w:id="7" w:name="OLE_LINK3"/>
      <w:r>
        <w:rPr>
          <w:rFonts w:hint="eastAsia" w:ascii="Arial" w:hAnsi="Arial" w:cs="Arial"/>
          <w:b/>
          <w:bCs/>
          <w:lang w:val="en-US" w:eastAsia="zh-CN" w:bidi="ar-SA"/>
        </w:rPr>
        <w:t>Proposal 3: The CU can know TA=0 based on OAM configuration.</w:t>
      </w:r>
    </w:p>
    <w:bookmarkEnd w:id="7"/>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For the same TA case, there are two options left as below.</w:t>
      </w:r>
    </w:p>
    <w:p>
      <w:pPr>
        <w:overflowPunct w:val="0"/>
        <w:autoSpaceDE w:val="0"/>
        <w:autoSpaceDN w:val="0"/>
        <w:adjustRightInd w:val="0"/>
        <w:spacing w:after="180"/>
        <w:textAlignment w:val="baseline"/>
        <w:rPr>
          <w:rFonts w:hint="default" w:ascii="Arial" w:hAnsi="Arial" w:cs="Arial"/>
          <w:color w:val="0000FF"/>
          <w:lang w:val="en-US" w:eastAsia="zh-CN" w:bidi="ar-SA"/>
        </w:rPr>
      </w:pPr>
      <w:r>
        <w:rPr>
          <w:rFonts w:hint="default" w:ascii="Arial" w:hAnsi="Arial" w:cs="Arial"/>
          <w:color w:val="0000FF"/>
          <w:lang w:val="en-US" w:eastAsia="zh-CN" w:bidi="ar-SA"/>
        </w:rPr>
        <w:t>Option 1: candidate DU response to the CU about the same TA value as source information.</w:t>
      </w:r>
    </w:p>
    <w:p>
      <w:pPr>
        <w:overflowPunct w:val="0"/>
        <w:autoSpaceDE w:val="0"/>
        <w:autoSpaceDN w:val="0"/>
        <w:adjustRightInd w:val="0"/>
        <w:spacing w:after="180"/>
        <w:textAlignment w:val="baseline"/>
        <w:rPr>
          <w:rFonts w:hint="default" w:ascii="Arial" w:hAnsi="Arial" w:cs="Arial"/>
          <w:color w:val="0000FF"/>
          <w:lang w:val="en-US" w:eastAsia="zh-CN" w:bidi="ar-SA"/>
        </w:rPr>
      </w:pPr>
      <w:r>
        <w:rPr>
          <w:rFonts w:hint="default" w:ascii="Arial" w:hAnsi="Arial" w:cs="Arial"/>
          <w:color w:val="0000FF"/>
          <w:lang w:val="en-US" w:eastAsia="zh-CN" w:bidi="ar-SA"/>
        </w:rPr>
        <w:t>Option 2: source DU determines whether the candidate Cell’s TA is same as source.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However, from our point of view, the TA value will change based on the UE location which is dynamic. Thus signalling enhancement to support same TA value information exchange is not necessary since the same TA value may become different TA value.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4: RAN3 does not introduce enhancement for the same TA value as source case.</w:t>
      </w:r>
    </w:p>
    <w:p>
      <w:pPr>
        <w:pStyle w:val="3"/>
        <w:bidi w:val="0"/>
        <w:rPr>
          <w:rFonts w:hint="eastAsia" w:ascii="Arial" w:hAnsi="Arial" w:cs="Arial"/>
          <w:b/>
          <w:bCs/>
          <w:lang w:val="en-US" w:eastAsia="zh-CN" w:bidi="ar-SA"/>
        </w:rPr>
      </w:pPr>
      <w:r>
        <w:rPr>
          <w:rFonts w:hint="eastAsia"/>
          <w:lang w:val="en-US" w:eastAsia="zh-CN"/>
        </w:rPr>
        <w:t>2.4</w:t>
      </w:r>
      <w:r>
        <w:rPr>
          <w:rFonts w:ascii="Arial" w:hAnsi="Arial" w:eastAsia="Times New Roman" w:cs="Arial"/>
          <w:sz w:val="36"/>
          <w:lang w:val="en-GB" w:eastAsia="en-US" w:bidi="ar-SA"/>
        </w:rPr>
        <w:tab/>
      </w:r>
      <w:r>
        <w:rPr>
          <w:rFonts w:hint="eastAsia" w:eastAsia="宋体"/>
          <w:lang w:val="en-US" w:eastAsia="zh-CN"/>
        </w:rPr>
        <w:t>LTM Interworking with NR-DC</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RAN2 has made the following agreement which means that the MN and SN can perform simultaneous LTM configuration. Therefore, no enhancement is needed to support LTM with NR-DC.</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No restriction of configuring MCG LTM and SCG LTM. No intention to further work in R2 on network interaction to better enable this.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2</w:t>
      </w:r>
      <w:r>
        <w:rPr>
          <w:rFonts w:hint="eastAsia" w:ascii="Arial" w:hAnsi="Arial" w:eastAsia="Times New Roman" w:cs="Arial"/>
          <w:b/>
          <w:bCs/>
          <w:lang w:val="en-US" w:eastAsia="zh-CN" w:bidi="ar-SA"/>
        </w:rPr>
        <w:t>: MN and SN can perform simultaneous LTM configuration</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eastAsia" w:ascii="Arial" w:hAnsi="Arial" w:cs="Arial"/>
          <w:b/>
          <w:bCs/>
          <w:lang w:val="en-US" w:eastAsia="zh-CN" w:bidi="ar-SA"/>
        </w:rPr>
        <w:t>Proposal 5: No enhancement is needed to support LTM with NR-DC.</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Times New Roman" w:cs="Arial"/>
          <w:lang w:val="en-GB" w:eastAsia="en-US" w:bidi="ar-SA"/>
        </w:rPr>
      </w:pPr>
      <w:r>
        <w:rPr>
          <w:rFonts w:hint="eastAsia" w:ascii="Arial" w:hAnsi="Arial" w:eastAsia="Times New Roman" w:cs="Arial"/>
          <w:lang w:val="en-GB" w:eastAsia="en-US" w:bidi="ar-SA"/>
        </w:rPr>
        <w:t>Based on above analysis, we provide the following observations and proposals.</w:t>
      </w:r>
    </w:p>
    <w:p>
      <w:pPr>
        <w:numPr>
          <w:ilvl w:val="0"/>
          <w:numId w:val="0"/>
        </w:num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 misalignment may be caused if RAN3 design is not based on the RRC design, i.e. the UE does not trigger UE based TA measurement and the NW also does not trigger the TA acquisition procedure because the NW thinks the UE based TA measurement can be supported.</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 Turn the following WA into an agreement.</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default" w:ascii="Arial" w:hAnsi="Arial" w:cs="Arial"/>
          <w:b/>
          <w:bCs/>
          <w:lang w:val="en-US" w:eastAsia="zh-CN" w:bidi="ar-SA"/>
        </w:rPr>
        <w:t>The gNB-CU indicates the IDs of UE based TA measurement for each candidate cell and source cell to the source gNB-DU via UE context Modification Request message.</w:t>
      </w:r>
    </w:p>
    <w:p>
      <w:pPr>
        <w:numPr>
          <w:ilvl w:val="0"/>
          <w:numId w:val="0"/>
        </w:num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2: The rach-ConfigDedicated in the RRCReconfiguration message provided by the candidate gNB-DU during LTM preparation is used.</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3: The CU can know TA=0 based on OAM configuration.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4: RAN3 does not introduce enhancement for the same TA value as source case.</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2</w:t>
      </w:r>
      <w:r>
        <w:rPr>
          <w:rFonts w:hint="eastAsia" w:ascii="Arial" w:hAnsi="Arial" w:eastAsia="Times New Roman" w:cs="Arial"/>
          <w:b/>
          <w:bCs/>
          <w:lang w:val="en-US" w:eastAsia="zh-CN" w:bidi="ar-SA"/>
        </w:rPr>
        <w:t>: MN and SN can perform simultaneous LTM configuration</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cs="Arial"/>
          <w:b/>
          <w:bCs/>
          <w:lang w:val="en-US" w:eastAsia="zh-CN" w:bidi="ar-SA"/>
        </w:rPr>
        <w:t>Proposal 5: No enhancement is needed to support LTM with NR-DC.</w:t>
      </w:r>
    </w:p>
    <w:p>
      <w:pPr>
        <w:pStyle w:val="2"/>
        <w:rPr>
          <w:lang w:val="en-US"/>
        </w:rPr>
      </w:pPr>
      <w:r>
        <w:rPr>
          <w:lang w:val="en-US"/>
        </w:rPr>
        <w:t>Reference</w:t>
      </w:r>
    </w:p>
    <w:p>
      <w:pPr>
        <w:rPr>
          <w:rFonts w:ascii="Arial" w:hAnsi="Arial" w:cs="Arial" w:eastAsiaTheme="minorEastAsia"/>
          <w:lang w:val="en-US" w:eastAsia="ko-KR"/>
        </w:rPr>
      </w:pPr>
      <w:r>
        <w:rPr>
          <w:rFonts w:hint="eastAsia" w:ascii="Arial" w:hAnsi="Arial" w:cs="Arial" w:eastAsiaTheme="minorEastAsia"/>
          <w:lang w:val="en-US" w:eastAsia="ko-KR"/>
        </w:rPr>
        <w:t>[</w:t>
      </w:r>
      <w:r>
        <w:rPr>
          <w:rFonts w:hint="eastAsia" w:ascii="Arial" w:hAnsi="Arial" w:cs="Arial" w:eastAsiaTheme="minorEastAsia"/>
          <w:lang w:val="en-US" w:eastAsia="zh-CN"/>
        </w:rPr>
        <w:t>1</w:t>
      </w:r>
      <w:r>
        <w:rPr>
          <w:rFonts w:hint="eastAsia" w:ascii="Arial" w:hAnsi="Arial" w:cs="Arial" w:eastAsiaTheme="minorEastAsia"/>
          <w:lang w:val="en-US" w:eastAsia="ko-KR"/>
        </w:rPr>
        <w:t xml:space="preserve">] R3-243525, </w:t>
      </w:r>
      <w:r>
        <w:rPr>
          <w:rFonts w:ascii="Arial" w:hAnsi="Arial" w:cs="Arial" w:eastAsiaTheme="minorEastAsia"/>
          <w:lang w:val="en-US" w:eastAsia="ko-KR"/>
        </w:rPr>
        <w:t>“</w:t>
      </w:r>
      <w:r>
        <w:rPr>
          <w:rFonts w:hint="eastAsia" w:ascii="Arial" w:hAnsi="Arial" w:cs="Arial" w:eastAsiaTheme="minorEastAsia"/>
          <w:lang w:val="en-US" w:eastAsia="ko-KR"/>
        </w:rPr>
        <w:t>Final discussion on Rel-18 LTM UE based TA from CU to DU</w:t>
      </w:r>
      <w:r>
        <w:rPr>
          <w:rFonts w:ascii="Arial" w:hAnsi="Arial" w:cs="Arial" w:eastAsiaTheme="minorEastAsia"/>
          <w:lang w:val="en-US" w:eastAsia="ko-KR"/>
        </w:rPr>
        <w:t>”</w:t>
      </w:r>
      <w:r>
        <w:rPr>
          <w:rFonts w:hint="eastAsia" w:ascii="Arial" w:hAnsi="Arial" w:cs="Arial" w:eastAsiaTheme="minorEastAsia"/>
          <w:lang w:val="en-US" w:eastAsia="ko-KR"/>
        </w:rPr>
        <w:t>, LG Electronics Inc.</w:t>
      </w:r>
    </w:p>
    <w:p>
      <w:pPr>
        <w:overflowPunct w:val="0"/>
        <w:autoSpaceDE w:val="0"/>
        <w:autoSpaceDN w:val="0"/>
        <w:adjustRightInd w:val="0"/>
        <w:spacing w:after="180"/>
        <w:textAlignment w:val="baseline"/>
        <w:rPr>
          <w:rFonts w:hint="default" w:ascii="Arial" w:hAnsi="Arial" w:cs="Arial"/>
          <w:b/>
          <w:bCs/>
          <w:lang w:val="en-US" w:eastAsia="zh-CN" w:bidi="ar-SA"/>
        </w:rPr>
      </w:pPr>
    </w:p>
    <w:p>
      <w:pPr>
        <w:pStyle w:val="87"/>
        <w:jc w:val="both"/>
      </w:pP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Nokia Pure Text Light">
    <w:altName w:val="Segoe Print"/>
    <w:panose1 w:val="020B0304040602060303"/>
    <w:charset w:val="00"/>
    <w:family w:val="swiss"/>
    <w:pitch w:val="default"/>
    <w:sig w:usb0="00000000" w:usb1="00000000" w:usb2="00010000" w:usb3="00000000" w:csb0="0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15C0A2"/>
    <w:multiLevelType w:val="singleLevel"/>
    <w:tmpl w:val="B915C0A2"/>
    <w:lvl w:ilvl="0" w:tentative="0">
      <w:start w:val="1"/>
      <w:numFmt w:val="decimal"/>
      <w:lvlText w:val="%1"/>
      <w:lvlJc w:val="left"/>
    </w:lvl>
  </w:abstractNum>
  <w:abstractNum w:abstractNumId="1">
    <w:nsid w:val="70146DC0"/>
    <w:multiLevelType w:val="multilevel"/>
    <w:tmpl w:val="70146DC0"/>
    <w:lvl w:ilvl="0" w:tentative="0">
      <w:start w:val="1"/>
      <w:numFmt w:val="bullet"/>
      <w:pStyle w:val="119"/>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87D2A"/>
    <w:rsid w:val="00F9031B"/>
    <w:rsid w:val="00F92B61"/>
    <w:rsid w:val="00FA55A0"/>
    <w:rsid w:val="00FB6386"/>
    <w:rsid w:val="00FB7DE3"/>
    <w:rsid w:val="00FE006E"/>
    <w:rsid w:val="00FE57B3"/>
    <w:rsid w:val="00FF251F"/>
    <w:rsid w:val="019D7936"/>
    <w:rsid w:val="021100AD"/>
    <w:rsid w:val="02314CFB"/>
    <w:rsid w:val="029C33C1"/>
    <w:rsid w:val="029C46DB"/>
    <w:rsid w:val="02B6410D"/>
    <w:rsid w:val="02CF4723"/>
    <w:rsid w:val="03A67F20"/>
    <w:rsid w:val="03AA525F"/>
    <w:rsid w:val="044D6948"/>
    <w:rsid w:val="04507C0D"/>
    <w:rsid w:val="046B0AFB"/>
    <w:rsid w:val="04A456AB"/>
    <w:rsid w:val="05175555"/>
    <w:rsid w:val="05EE1AB8"/>
    <w:rsid w:val="05FC4D85"/>
    <w:rsid w:val="060C111B"/>
    <w:rsid w:val="06312CCC"/>
    <w:rsid w:val="066F0108"/>
    <w:rsid w:val="066F7E9B"/>
    <w:rsid w:val="068F53DD"/>
    <w:rsid w:val="069142A6"/>
    <w:rsid w:val="06AA2469"/>
    <w:rsid w:val="06F51916"/>
    <w:rsid w:val="076705FA"/>
    <w:rsid w:val="07776026"/>
    <w:rsid w:val="083C4E88"/>
    <w:rsid w:val="088C4F33"/>
    <w:rsid w:val="08B83BE3"/>
    <w:rsid w:val="09181FF8"/>
    <w:rsid w:val="092F43AC"/>
    <w:rsid w:val="09697433"/>
    <w:rsid w:val="09CA0B4F"/>
    <w:rsid w:val="0A1A73D0"/>
    <w:rsid w:val="0A615B38"/>
    <w:rsid w:val="0A752A9A"/>
    <w:rsid w:val="0A907901"/>
    <w:rsid w:val="0ADD5BA9"/>
    <w:rsid w:val="0B561A7D"/>
    <w:rsid w:val="0B765AF3"/>
    <w:rsid w:val="0B9B541A"/>
    <w:rsid w:val="0BF81269"/>
    <w:rsid w:val="0C717243"/>
    <w:rsid w:val="0C800806"/>
    <w:rsid w:val="0D0802CD"/>
    <w:rsid w:val="0D71065D"/>
    <w:rsid w:val="0DAF3492"/>
    <w:rsid w:val="0DBF1AB3"/>
    <w:rsid w:val="0DFE138F"/>
    <w:rsid w:val="0E0A0DAE"/>
    <w:rsid w:val="0E2D4006"/>
    <w:rsid w:val="0E766064"/>
    <w:rsid w:val="0E79247A"/>
    <w:rsid w:val="0EAD5E04"/>
    <w:rsid w:val="0F0C34F9"/>
    <w:rsid w:val="0F5466E4"/>
    <w:rsid w:val="0F931965"/>
    <w:rsid w:val="0F9C2A57"/>
    <w:rsid w:val="0FAF3CAF"/>
    <w:rsid w:val="0FB12183"/>
    <w:rsid w:val="0FCC5FE0"/>
    <w:rsid w:val="100571B9"/>
    <w:rsid w:val="102B2F80"/>
    <w:rsid w:val="1080178B"/>
    <w:rsid w:val="109D506C"/>
    <w:rsid w:val="10A165AE"/>
    <w:rsid w:val="10B47F16"/>
    <w:rsid w:val="11060A51"/>
    <w:rsid w:val="117B4C45"/>
    <w:rsid w:val="11B23BB5"/>
    <w:rsid w:val="11DC5602"/>
    <w:rsid w:val="121A489B"/>
    <w:rsid w:val="1229571B"/>
    <w:rsid w:val="12AA04F3"/>
    <w:rsid w:val="12D63D7C"/>
    <w:rsid w:val="12E045F3"/>
    <w:rsid w:val="13035F31"/>
    <w:rsid w:val="134E6454"/>
    <w:rsid w:val="138F0F2E"/>
    <w:rsid w:val="13D4711F"/>
    <w:rsid w:val="140307D7"/>
    <w:rsid w:val="140662FC"/>
    <w:rsid w:val="14215388"/>
    <w:rsid w:val="145A5979"/>
    <w:rsid w:val="14711EAF"/>
    <w:rsid w:val="1493114B"/>
    <w:rsid w:val="14955CB4"/>
    <w:rsid w:val="14B91C19"/>
    <w:rsid w:val="14CC16DB"/>
    <w:rsid w:val="15034DAF"/>
    <w:rsid w:val="15202D79"/>
    <w:rsid w:val="15B35820"/>
    <w:rsid w:val="15D1270D"/>
    <w:rsid w:val="15E07071"/>
    <w:rsid w:val="15F201F8"/>
    <w:rsid w:val="15F94232"/>
    <w:rsid w:val="16BC1651"/>
    <w:rsid w:val="16CE0C48"/>
    <w:rsid w:val="16F9072C"/>
    <w:rsid w:val="17405C8B"/>
    <w:rsid w:val="17494504"/>
    <w:rsid w:val="176811F5"/>
    <w:rsid w:val="17C07A94"/>
    <w:rsid w:val="17C73161"/>
    <w:rsid w:val="17FD70C6"/>
    <w:rsid w:val="18247AC1"/>
    <w:rsid w:val="18274EB9"/>
    <w:rsid w:val="183369F8"/>
    <w:rsid w:val="18CB0B33"/>
    <w:rsid w:val="18DE5190"/>
    <w:rsid w:val="18F45785"/>
    <w:rsid w:val="192269D6"/>
    <w:rsid w:val="193E6B04"/>
    <w:rsid w:val="19741977"/>
    <w:rsid w:val="1A381F9A"/>
    <w:rsid w:val="1A413456"/>
    <w:rsid w:val="1A5531FE"/>
    <w:rsid w:val="1A834F17"/>
    <w:rsid w:val="1A847123"/>
    <w:rsid w:val="1A9222A0"/>
    <w:rsid w:val="1ABC7C86"/>
    <w:rsid w:val="1B750D4B"/>
    <w:rsid w:val="1B784FCA"/>
    <w:rsid w:val="1C4739CA"/>
    <w:rsid w:val="1D0F0868"/>
    <w:rsid w:val="1E1C555D"/>
    <w:rsid w:val="1E3C1BFA"/>
    <w:rsid w:val="1E4266F2"/>
    <w:rsid w:val="1E614B9D"/>
    <w:rsid w:val="1E691C2C"/>
    <w:rsid w:val="1E6E041A"/>
    <w:rsid w:val="1EBC62FE"/>
    <w:rsid w:val="1EC74FC6"/>
    <w:rsid w:val="1F113A6C"/>
    <w:rsid w:val="1F2211EF"/>
    <w:rsid w:val="1F2C51E9"/>
    <w:rsid w:val="1F545A77"/>
    <w:rsid w:val="1F5D55DE"/>
    <w:rsid w:val="1F850DDC"/>
    <w:rsid w:val="1FF84F8B"/>
    <w:rsid w:val="20400E05"/>
    <w:rsid w:val="209E204F"/>
    <w:rsid w:val="20A81EFA"/>
    <w:rsid w:val="20BC096E"/>
    <w:rsid w:val="20BE4A47"/>
    <w:rsid w:val="20EF2DD9"/>
    <w:rsid w:val="21141E74"/>
    <w:rsid w:val="21A82B05"/>
    <w:rsid w:val="21ED2F93"/>
    <w:rsid w:val="224C43E5"/>
    <w:rsid w:val="226B0338"/>
    <w:rsid w:val="22795F46"/>
    <w:rsid w:val="22845241"/>
    <w:rsid w:val="22910AD3"/>
    <w:rsid w:val="22CB73FF"/>
    <w:rsid w:val="22D27C8B"/>
    <w:rsid w:val="22EE0F97"/>
    <w:rsid w:val="23182504"/>
    <w:rsid w:val="231E4EEB"/>
    <w:rsid w:val="23505929"/>
    <w:rsid w:val="237A3415"/>
    <w:rsid w:val="23884241"/>
    <w:rsid w:val="23A10231"/>
    <w:rsid w:val="23A36550"/>
    <w:rsid w:val="23B81835"/>
    <w:rsid w:val="23FC36DA"/>
    <w:rsid w:val="244617E7"/>
    <w:rsid w:val="244E0BBC"/>
    <w:rsid w:val="2455691E"/>
    <w:rsid w:val="248D1ABC"/>
    <w:rsid w:val="24B84B9E"/>
    <w:rsid w:val="24E026BE"/>
    <w:rsid w:val="24F72AC4"/>
    <w:rsid w:val="24F971EB"/>
    <w:rsid w:val="253E5CB9"/>
    <w:rsid w:val="253F0593"/>
    <w:rsid w:val="257A73D0"/>
    <w:rsid w:val="257C444C"/>
    <w:rsid w:val="25941CAE"/>
    <w:rsid w:val="25E71580"/>
    <w:rsid w:val="25ED790B"/>
    <w:rsid w:val="267643D1"/>
    <w:rsid w:val="26DC3830"/>
    <w:rsid w:val="26E60D64"/>
    <w:rsid w:val="2720402B"/>
    <w:rsid w:val="280571AB"/>
    <w:rsid w:val="288C3D78"/>
    <w:rsid w:val="28976961"/>
    <w:rsid w:val="28EB7CDF"/>
    <w:rsid w:val="28F2027B"/>
    <w:rsid w:val="293B7F79"/>
    <w:rsid w:val="29CA3F4C"/>
    <w:rsid w:val="29E067C8"/>
    <w:rsid w:val="29E4725E"/>
    <w:rsid w:val="2A681EDB"/>
    <w:rsid w:val="2A783838"/>
    <w:rsid w:val="2AF31787"/>
    <w:rsid w:val="2B5078FF"/>
    <w:rsid w:val="2B8B34B0"/>
    <w:rsid w:val="2B923661"/>
    <w:rsid w:val="2BCC7B24"/>
    <w:rsid w:val="2BD51F89"/>
    <w:rsid w:val="2BFE5CFA"/>
    <w:rsid w:val="2C0D2FFD"/>
    <w:rsid w:val="2C263FF4"/>
    <w:rsid w:val="2C47711C"/>
    <w:rsid w:val="2C7637C4"/>
    <w:rsid w:val="2CC928A8"/>
    <w:rsid w:val="2CCF3F81"/>
    <w:rsid w:val="2CD63DBE"/>
    <w:rsid w:val="2CE8456C"/>
    <w:rsid w:val="2D0832EB"/>
    <w:rsid w:val="2D835C1F"/>
    <w:rsid w:val="2D9F3333"/>
    <w:rsid w:val="2E2968AD"/>
    <w:rsid w:val="2E391103"/>
    <w:rsid w:val="2E7A388A"/>
    <w:rsid w:val="2E803D7D"/>
    <w:rsid w:val="2EBD2C12"/>
    <w:rsid w:val="2F7D08A6"/>
    <w:rsid w:val="2F984D9C"/>
    <w:rsid w:val="2FB55D74"/>
    <w:rsid w:val="302E0DCD"/>
    <w:rsid w:val="304F7AD8"/>
    <w:rsid w:val="30B159D9"/>
    <w:rsid w:val="31077786"/>
    <w:rsid w:val="31F15FAB"/>
    <w:rsid w:val="31F73EE5"/>
    <w:rsid w:val="321B3256"/>
    <w:rsid w:val="32200C74"/>
    <w:rsid w:val="32307A81"/>
    <w:rsid w:val="325A31BA"/>
    <w:rsid w:val="326A4731"/>
    <w:rsid w:val="32731315"/>
    <w:rsid w:val="327B54A6"/>
    <w:rsid w:val="32A14180"/>
    <w:rsid w:val="32E25DD1"/>
    <w:rsid w:val="331466DE"/>
    <w:rsid w:val="33752666"/>
    <w:rsid w:val="33A415E4"/>
    <w:rsid w:val="33D83FC9"/>
    <w:rsid w:val="341F1AE0"/>
    <w:rsid w:val="343E5994"/>
    <w:rsid w:val="349A7728"/>
    <w:rsid w:val="34DF733F"/>
    <w:rsid w:val="34FA3405"/>
    <w:rsid w:val="352261A2"/>
    <w:rsid w:val="35A60855"/>
    <w:rsid w:val="35B27E7B"/>
    <w:rsid w:val="367766C2"/>
    <w:rsid w:val="36983918"/>
    <w:rsid w:val="36FC310E"/>
    <w:rsid w:val="371C5484"/>
    <w:rsid w:val="3783174C"/>
    <w:rsid w:val="37940011"/>
    <w:rsid w:val="37946F59"/>
    <w:rsid w:val="379C7B25"/>
    <w:rsid w:val="37A6084D"/>
    <w:rsid w:val="37B21435"/>
    <w:rsid w:val="37B44F95"/>
    <w:rsid w:val="3816248E"/>
    <w:rsid w:val="381E116F"/>
    <w:rsid w:val="38E828B3"/>
    <w:rsid w:val="38FA71A0"/>
    <w:rsid w:val="3943372E"/>
    <w:rsid w:val="395A5E54"/>
    <w:rsid w:val="395F024B"/>
    <w:rsid w:val="396667EA"/>
    <w:rsid w:val="3994560D"/>
    <w:rsid w:val="39CE3BB6"/>
    <w:rsid w:val="3A272CF2"/>
    <w:rsid w:val="3A445A1C"/>
    <w:rsid w:val="3A5A1A64"/>
    <w:rsid w:val="3A900026"/>
    <w:rsid w:val="3A967AD5"/>
    <w:rsid w:val="3AC40189"/>
    <w:rsid w:val="3B347954"/>
    <w:rsid w:val="3B844700"/>
    <w:rsid w:val="3BEA76A8"/>
    <w:rsid w:val="3C386B92"/>
    <w:rsid w:val="3C4F0DC6"/>
    <w:rsid w:val="3C5A1BC8"/>
    <w:rsid w:val="3C993636"/>
    <w:rsid w:val="3D564829"/>
    <w:rsid w:val="3D790BBA"/>
    <w:rsid w:val="3DB92194"/>
    <w:rsid w:val="3DC10DEC"/>
    <w:rsid w:val="3DFB160A"/>
    <w:rsid w:val="3E247D32"/>
    <w:rsid w:val="3E472328"/>
    <w:rsid w:val="3E7417F4"/>
    <w:rsid w:val="3E901837"/>
    <w:rsid w:val="3E966DB0"/>
    <w:rsid w:val="3EB641B4"/>
    <w:rsid w:val="3ED372FA"/>
    <w:rsid w:val="3EE3394D"/>
    <w:rsid w:val="3EE4502D"/>
    <w:rsid w:val="3F3C349F"/>
    <w:rsid w:val="3F842F4B"/>
    <w:rsid w:val="3FBF6B98"/>
    <w:rsid w:val="404017A4"/>
    <w:rsid w:val="40755CAB"/>
    <w:rsid w:val="408F75BE"/>
    <w:rsid w:val="40B7720D"/>
    <w:rsid w:val="40F13A89"/>
    <w:rsid w:val="415400F7"/>
    <w:rsid w:val="416B347A"/>
    <w:rsid w:val="41906254"/>
    <w:rsid w:val="4192019E"/>
    <w:rsid w:val="427823A9"/>
    <w:rsid w:val="428D2930"/>
    <w:rsid w:val="42935FD7"/>
    <w:rsid w:val="42BA108E"/>
    <w:rsid w:val="42E31827"/>
    <w:rsid w:val="42FF3F71"/>
    <w:rsid w:val="43354BFE"/>
    <w:rsid w:val="433B6C9C"/>
    <w:rsid w:val="436B5C9B"/>
    <w:rsid w:val="4392313E"/>
    <w:rsid w:val="439A253E"/>
    <w:rsid w:val="43A65CC5"/>
    <w:rsid w:val="44982499"/>
    <w:rsid w:val="44AE2A00"/>
    <w:rsid w:val="44B343D6"/>
    <w:rsid w:val="44EA0226"/>
    <w:rsid w:val="450955E1"/>
    <w:rsid w:val="45977A54"/>
    <w:rsid w:val="46296716"/>
    <w:rsid w:val="467025F4"/>
    <w:rsid w:val="46DF3F0F"/>
    <w:rsid w:val="46F509C7"/>
    <w:rsid w:val="47193333"/>
    <w:rsid w:val="47826786"/>
    <w:rsid w:val="47D53786"/>
    <w:rsid w:val="47E47337"/>
    <w:rsid w:val="480B5CB1"/>
    <w:rsid w:val="48D972F5"/>
    <w:rsid w:val="492835C7"/>
    <w:rsid w:val="495B7A57"/>
    <w:rsid w:val="497250F9"/>
    <w:rsid w:val="49D55FBB"/>
    <w:rsid w:val="49E2014F"/>
    <w:rsid w:val="49FD7E75"/>
    <w:rsid w:val="4A142D9F"/>
    <w:rsid w:val="4A7630F7"/>
    <w:rsid w:val="4ABD2146"/>
    <w:rsid w:val="4B055342"/>
    <w:rsid w:val="4B2405D2"/>
    <w:rsid w:val="4B825093"/>
    <w:rsid w:val="4BB7399C"/>
    <w:rsid w:val="4BC32BE9"/>
    <w:rsid w:val="4BC42771"/>
    <w:rsid w:val="4BC949D3"/>
    <w:rsid w:val="4BF604BA"/>
    <w:rsid w:val="4BFD1A7C"/>
    <w:rsid w:val="4C183D32"/>
    <w:rsid w:val="4C1E6D2C"/>
    <w:rsid w:val="4CB3501F"/>
    <w:rsid w:val="4CEB0AB9"/>
    <w:rsid w:val="4D0E64D9"/>
    <w:rsid w:val="4D136985"/>
    <w:rsid w:val="4DBA5BC6"/>
    <w:rsid w:val="4E204F82"/>
    <w:rsid w:val="4E2970C5"/>
    <w:rsid w:val="4E304E79"/>
    <w:rsid w:val="4E925663"/>
    <w:rsid w:val="4F262C97"/>
    <w:rsid w:val="4F357524"/>
    <w:rsid w:val="4F8754DE"/>
    <w:rsid w:val="500F5EC0"/>
    <w:rsid w:val="502935B6"/>
    <w:rsid w:val="503166AD"/>
    <w:rsid w:val="508320CC"/>
    <w:rsid w:val="50AA6BBA"/>
    <w:rsid w:val="511A7A24"/>
    <w:rsid w:val="518F3C7E"/>
    <w:rsid w:val="519A76D1"/>
    <w:rsid w:val="51C67ECB"/>
    <w:rsid w:val="520E4FC7"/>
    <w:rsid w:val="526F3B05"/>
    <w:rsid w:val="52707FB6"/>
    <w:rsid w:val="529A6A62"/>
    <w:rsid w:val="5305711F"/>
    <w:rsid w:val="531769D7"/>
    <w:rsid w:val="53A76161"/>
    <w:rsid w:val="53E06AEC"/>
    <w:rsid w:val="53F1105F"/>
    <w:rsid w:val="543658E5"/>
    <w:rsid w:val="54721DB0"/>
    <w:rsid w:val="54747EF2"/>
    <w:rsid w:val="54891885"/>
    <w:rsid w:val="54C6143C"/>
    <w:rsid w:val="54C87883"/>
    <w:rsid w:val="55266162"/>
    <w:rsid w:val="559F35CA"/>
    <w:rsid w:val="55A64981"/>
    <w:rsid w:val="55AE6C4D"/>
    <w:rsid w:val="55D94D5F"/>
    <w:rsid w:val="55F734CE"/>
    <w:rsid w:val="560D7BE6"/>
    <w:rsid w:val="565D2FE3"/>
    <w:rsid w:val="56D61DB5"/>
    <w:rsid w:val="56E53B21"/>
    <w:rsid w:val="56FA74F5"/>
    <w:rsid w:val="5715367B"/>
    <w:rsid w:val="580B14EE"/>
    <w:rsid w:val="58807E3B"/>
    <w:rsid w:val="58B3768A"/>
    <w:rsid w:val="58CB0F2B"/>
    <w:rsid w:val="58F619F3"/>
    <w:rsid w:val="593C0869"/>
    <w:rsid w:val="594006C5"/>
    <w:rsid w:val="59757C1E"/>
    <w:rsid w:val="5984580C"/>
    <w:rsid w:val="59C670E9"/>
    <w:rsid w:val="5A252D18"/>
    <w:rsid w:val="5A49240E"/>
    <w:rsid w:val="5AC64479"/>
    <w:rsid w:val="5AFF6B8E"/>
    <w:rsid w:val="5B223A34"/>
    <w:rsid w:val="5B4C4F0B"/>
    <w:rsid w:val="5B563943"/>
    <w:rsid w:val="5C0D53BD"/>
    <w:rsid w:val="5C4A7911"/>
    <w:rsid w:val="5CEF5E6A"/>
    <w:rsid w:val="5CF122C1"/>
    <w:rsid w:val="5D4361CD"/>
    <w:rsid w:val="5DF46426"/>
    <w:rsid w:val="5E3945EA"/>
    <w:rsid w:val="5E867E2D"/>
    <w:rsid w:val="5F472BFF"/>
    <w:rsid w:val="5F8B54DA"/>
    <w:rsid w:val="5FDB2024"/>
    <w:rsid w:val="60C917B8"/>
    <w:rsid w:val="60CB21E8"/>
    <w:rsid w:val="60D12ECB"/>
    <w:rsid w:val="613943B6"/>
    <w:rsid w:val="616A4B9B"/>
    <w:rsid w:val="617A0421"/>
    <w:rsid w:val="61BE02FD"/>
    <w:rsid w:val="62397CEA"/>
    <w:rsid w:val="623E435B"/>
    <w:rsid w:val="626A76C8"/>
    <w:rsid w:val="628A778E"/>
    <w:rsid w:val="629234C5"/>
    <w:rsid w:val="63460424"/>
    <w:rsid w:val="635105BF"/>
    <w:rsid w:val="637D177F"/>
    <w:rsid w:val="639049F5"/>
    <w:rsid w:val="63A92701"/>
    <w:rsid w:val="64A25D5B"/>
    <w:rsid w:val="64D32AB2"/>
    <w:rsid w:val="65053CCD"/>
    <w:rsid w:val="65080465"/>
    <w:rsid w:val="651C109B"/>
    <w:rsid w:val="65614A1F"/>
    <w:rsid w:val="65871A77"/>
    <w:rsid w:val="65DE2142"/>
    <w:rsid w:val="663B5043"/>
    <w:rsid w:val="66943F02"/>
    <w:rsid w:val="67450C74"/>
    <w:rsid w:val="679219A0"/>
    <w:rsid w:val="67CD16A7"/>
    <w:rsid w:val="67F0785E"/>
    <w:rsid w:val="68174F0E"/>
    <w:rsid w:val="68474B84"/>
    <w:rsid w:val="68497287"/>
    <w:rsid w:val="685C34BB"/>
    <w:rsid w:val="68A51B56"/>
    <w:rsid w:val="69531CB9"/>
    <w:rsid w:val="69B269A8"/>
    <w:rsid w:val="69E459BB"/>
    <w:rsid w:val="69FF6A0A"/>
    <w:rsid w:val="6A6E55E7"/>
    <w:rsid w:val="6A784C7D"/>
    <w:rsid w:val="6A7A3626"/>
    <w:rsid w:val="6AE96C78"/>
    <w:rsid w:val="6AEA233B"/>
    <w:rsid w:val="6BAB303B"/>
    <w:rsid w:val="6BE02EF1"/>
    <w:rsid w:val="6BE04EC4"/>
    <w:rsid w:val="6CB927E4"/>
    <w:rsid w:val="6CF8210C"/>
    <w:rsid w:val="6D362506"/>
    <w:rsid w:val="6D636818"/>
    <w:rsid w:val="6DA75965"/>
    <w:rsid w:val="6DB41DB0"/>
    <w:rsid w:val="6E39419B"/>
    <w:rsid w:val="6E5969FE"/>
    <w:rsid w:val="6E7D3EF3"/>
    <w:rsid w:val="6E84361E"/>
    <w:rsid w:val="6EEA5749"/>
    <w:rsid w:val="6F157F2D"/>
    <w:rsid w:val="6F2971AE"/>
    <w:rsid w:val="6F3E4242"/>
    <w:rsid w:val="6F637F9F"/>
    <w:rsid w:val="6F873731"/>
    <w:rsid w:val="6FA4634D"/>
    <w:rsid w:val="6FBE4987"/>
    <w:rsid w:val="705536D5"/>
    <w:rsid w:val="70C418C2"/>
    <w:rsid w:val="710E3FA7"/>
    <w:rsid w:val="71632467"/>
    <w:rsid w:val="7227629F"/>
    <w:rsid w:val="72284CD3"/>
    <w:rsid w:val="724E4896"/>
    <w:rsid w:val="72890388"/>
    <w:rsid w:val="728A2A59"/>
    <w:rsid w:val="728B420C"/>
    <w:rsid w:val="72A714BD"/>
    <w:rsid w:val="73236E8C"/>
    <w:rsid w:val="73B133AA"/>
    <w:rsid w:val="73B77B23"/>
    <w:rsid w:val="73F353B5"/>
    <w:rsid w:val="740E76E4"/>
    <w:rsid w:val="74695CF8"/>
    <w:rsid w:val="747A49DF"/>
    <w:rsid w:val="74FA12A9"/>
    <w:rsid w:val="756627EE"/>
    <w:rsid w:val="7571766F"/>
    <w:rsid w:val="75AC38CD"/>
    <w:rsid w:val="760E13A2"/>
    <w:rsid w:val="76181F74"/>
    <w:rsid w:val="762A1504"/>
    <w:rsid w:val="76812555"/>
    <w:rsid w:val="76824C7D"/>
    <w:rsid w:val="76B438D2"/>
    <w:rsid w:val="76C367C8"/>
    <w:rsid w:val="76DB54E1"/>
    <w:rsid w:val="77452250"/>
    <w:rsid w:val="778C1E00"/>
    <w:rsid w:val="7797108C"/>
    <w:rsid w:val="77CE29EE"/>
    <w:rsid w:val="77D354B0"/>
    <w:rsid w:val="77D5208C"/>
    <w:rsid w:val="783F5543"/>
    <w:rsid w:val="78A06036"/>
    <w:rsid w:val="78C13EE6"/>
    <w:rsid w:val="79263039"/>
    <w:rsid w:val="794F4AA1"/>
    <w:rsid w:val="79DD402E"/>
    <w:rsid w:val="79F94C3C"/>
    <w:rsid w:val="7A391DC0"/>
    <w:rsid w:val="7A6A2562"/>
    <w:rsid w:val="7A6C5DDC"/>
    <w:rsid w:val="7AD92143"/>
    <w:rsid w:val="7AFC7028"/>
    <w:rsid w:val="7B0849EC"/>
    <w:rsid w:val="7B0D675C"/>
    <w:rsid w:val="7B274987"/>
    <w:rsid w:val="7B4F2BA0"/>
    <w:rsid w:val="7B6F65ED"/>
    <w:rsid w:val="7BBD069C"/>
    <w:rsid w:val="7BD62ABE"/>
    <w:rsid w:val="7BE213B2"/>
    <w:rsid w:val="7BEB09F5"/>
    <w:rsid w:val="7BFE3F56"/>
    <w:rsid w:val="7C3937CD"/>
    <w:rsid w:val="7C573D6C"/>
    <w:rsid w:val="7C6165D8"/>
    <w:rsid w:val="7CE565DD"/>
    <w:rsid w:val="7CF84001"/>
    <w:rsid w:val="7D0263D7"/>
    <w:rsid w:val="7D7C1EF8"/>
    <w:rsid w:val="7DC35EA0"/>
    <w:rsid w:val="7E054230"/>
    <w:rsid w:val="7E0878D8"/>
    <w:rsid w:val="7E481BF4"/>
    <w:rsid w:val="7E5D274F"/>
    <w:rsid w:val="7EC52530"/>
    <w:rsid w:val="7EC81B02"/>
    <w:rsid w:val="7F214B49"/>
    <w:rsid w:val="7F502099"/>
    <w:rsid w:val="7F5302FE"/>
    <w:rsid w:val="7F5458FC"/>
    <w:rsid w:val="7F57469D"/>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1"/>
    <w:qFormat/>
    <w:uiPriority w:val="0"/>
    <w:rPr>
      <w:rFonts w:ascii="Tahoma" w:hAnsi="Tahoma" w:cs="Tahoma"/>
      <w:sz w:val="16"/>
      <w:szCs w:val="16"/>
    </w:rPr>
  </w:style>
  <w:style w:type="paragraph" w:styleId="34">
    <w:name w:val="footer"/>
    <w:basedOn w:val="35"/>
    <w:link w:val="97"/>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unhideWhenUsed/>
    <w:uiPriority w:val="99"/>
    <w:pPr>
      <w:overflowPunct w:val="0"/>
      <w:autoSpaceDE w:val="0"/>
      <w:autoSpaceDN w:val="0"/>
      <w:adjustRightInd w:val="0"/>
      <w:spacing w:before="100" w:beforeAutospacing="1" w:after="100" w:afterAutospacing="1"/>
      <w:ind w:left="0" w:right="0"/>
      <w:jc w:val="left"/>
      <w:textAlignment w:val="baseline"/>
    </w:pPr>
    <w:rPr>
      <w:rFonts w:ascii="Times New Roman" w:hAnsi="Times New Roman" w:eastAsia="宋体" w:cs="Times New Roman"/>
      <w:kern w:val="0"/>
      <w:sz w:val="24"/>
      <w:szCs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3"/>
    <w:qFormat/>
    <w:uiPriority w:val="0"/>
    <w:rPr>
      <w:b/>
      <w:bCs/>
    </w:rPr>
  </w:style>
  <w:style w:type="table" w:styleId="45">
    <w:name w:val="Table Grid"/>
    <w:basedOn w:val="44"/>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6"/>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3"/>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6"/>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customStyle="1" w:styleId="119">
    <w:name w:val="Agreement"/>
    <w:next w:val="1"/>
    <w:qFormat/>
    <w:uiPriority w:val="99"/>
    <w:pPr>
      <w:numPr>
        <w:ilvl w:val="0"/>
        <w:numId w:val="1"/>
      </w:numPr>
      <w:spacing w:before="60"/>
    </w:pPr>
    <w:rPr>
      <w:rFonts w:ascii="Arial" w:hAnsi="Arial" w:eastAsia="MS Mincho" w:cs="Times New Roman"/>
      <w:b/>
      <w:szCs w:val="24"/>
      <w:lang w:val="en-GB" w:eastAsia="en-GB" w:bidi="ar-SA"/>
    </w:rPr>
  </w:style>
  <w:style w:type="paragraph" w:styleId="120">
    <w:name w:val="List Paragraph"/>
    <w:qFormat/>
    <w:uiPriority w:val="34"/>
    <w:pPr>
      <w:spacing w:after="0"/>
      <w:ind w:left="720"/>
      <w:contextualSpacing/>
      <w:jc w:val="both"/>
    </w:pPr>
    <w:rPr>
      <w:rFonts w:ascii="Nokia Pure Text Light" w:hAnsi="Nokia Pure Text Light" w:eastAsia="宋体" w:cs="Times New Roman"/>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2024-05-10T05:15:40Z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